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27D" w:rsidRPr="00431C55" w:rsidRDefault="0001727D" w:rsidP="00431C55">
      <w:pPr>
        <w:rPr>
          <w:color w:val="003399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234E3" wp14:editId="47C3B68A">
                <wp:simplePos x="0" y="0"/>
                <wp:positionH relativeFrom="column">
                  <wp:posOffset>-622300</wp:posOffset>
                </wp:positionH>
                <wp:positionV relativeFrom="paragraph">
                  <wp:posOffset>832485</wp:posOffset>
                </wp:positionV>
                <wp:extent cx="7169150" cy="6350"/>
                <wp:effectExtent l="0" t="0" r="31750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9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CEF2C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pt,65.55pt" to="515.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C3AF0">
        <w:t xml:space="preserve">  </w:t>
      </w:r>
      <w:r w:rsidR="00CA2EEB">
        <w:rPr>
          <w:rFonts w:ascii="Arial" w:hAnsi="Arial" w:cs="Arial"/>
          <w:noProof/>
          <w:sz w:val="16"/>
        </w:rPr>
        <w:drawing>
          <wp:inline distT="0" distB="0" distL="0" distR="0" wp14:anchorId="0951F2BA" wp14:editId="27D9793A">
            <wp:extent cx="1605280" cy="627380"/>
            <wp:effectExtent l="0" t="0" r="0" b="1270"/>
            <wp:docPr id="1" name="Picture 1" descr="EXPERIAN_Health_2c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ERIAN_Health_2c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F0">
        <w:tab/>
      </w:r>
      <w:r w:rsidR="00CC3AF0">
        <w:tab/>
      </w:r>
      <w:proofErr w:type="spellStart"/>
      <w:r w:rsidR="00431C55">
        <w:rPr>
          <w:color w:val="003399"/>
          <w:sz w:val="52"/>
          <w:szCs w:val="52"/>
        </w:rPr>
        <w:t>ClaimSource</w:t>
      </w:r>
      <w:proofErr w:type="spellEnd"/>
      <w:r w:rsidR="00431C55">
        <w:rPr>
          <w:color w:val="003399"/>
          <w:sz w:val="52"/>
          <w:szCs w:val="52"/>
        </w:rPr>
        <w:t>™</w:t>
      </w:r>
    </w:p>
    <w:p w:rsidR="00431C55" w:rsidRDefault="00431C55" w:rsidP="00E7793D">
      <w:pPr>
        <w:pStyle w:val="NoSpacing"/>
        <w:jc w:val="center"/>
        <w:rPr>
          <w:b/>
          <w:sz w:val="28"/>
          <w:szCs w:val="28"/>
        </w:rPr>
      </w:pPr>
    </w:p>
    <w:p w:rsidR="00E7793D" w:rsidRDefault="00BD1E48" w:rsidP="00E7793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Release Features</w:t>
      </w:r>
      <w:r w:rsidR="009C6098">
        <w:rPr>
          <w:b/>
          <w:sz w:val="28"/>
          <w:szCs w:val="28"/>
        </w:rPr>
        <w:t xml:space="preserve"> – 08/18</w:t>
      </w:r>
      <w:r w:rsidR="00C12FE3">
        <w:rPr>
          <w:b/>
          <w:sz w:val="28"/>
          <w:szCs w:val="28"/>
        </w:rPr>
        <w:t>/2016</w:t>
      </w:r>
    </w:p>
    <w:p w:rsidR="00BD1E48" w:rsidRDefault="00BD1E48" w:rsidP="00E7793D">
      <w:pPr>
        <w:pStyle w:val="NoSpacing"/>
        <w:jc w:val="center"/>
        <w:rPr>
          <w:b/>
          <w:sz w:val="28"/>
          <w:szCs w:val="28"/>
        </w:rPr>
      </w:pPr>
    </w:p>
    <w:p w:rsidR="00EB0DD4" w:rsidRDefault="00EB0DD4" w:rsidP="00E7793D">
      <w:pPr>
        <w:pStyle w:val="NoSpacing"/>
        <w:jc w:val="center"/>
        <w:rPr>
          <w:b/>
          <w:sz w:val="28"/>
          <w:szCs w:val="28"/>
        </w:rPr>
      </w:pPr>
    </w:p>
    <w:p w:rsidR="003F1AED" w:rsidRDefault="009C6098" w:rsidP="00FB6A58">
      <w:pPr>
        <w:pStyle w:val="NoSpacing"/>
        <w:rPr>
          <w:b/>
        </w:rPr>
      </w:pPr>
      <w:r>
        <w:rPr>
          <w:b/>
        </w:rPr>
        <w:t xml:space="preserve">Rename </w:t>
      </w:r>
      <w:proofErr w:type="spellStart"/>
      <w:r>
        <w:rPr>
          <w:b/>
        </w:rPr>
        <w:t>WorkQ</w:t>
      </w:r>
      <w:proofErr w:type="spellEnd"/>
      <w:r>
        <w:rPr>
          <w:b/>
        </w:rPr>
        <w:t xml:space="preserve"> to Claims</w:t>
      </w:r>
      <w:r w:rsidR="003F1AED" w:rsidRPr="00FB6A58">
        <w:rPr>
          <w:b/>
        </w:rPr>
        <w:t xml:space="preserve">: </w:t>
      </w:r>
    </w:p>
    <w:p w:rsidR="00BC15E0" w:rsidRPr="009C6098" w:rsidRDefault="009C6098" w:rsidP="00FB6A58">
      <w:pPr>
        <w:pStyle w:val="NoSpacing"/>
      </w:pPr>
      <w:r>
        <w:t xml:space="preserve">With the addition of the Remittances feature and soon to be released Denial Management feature, the </w:t>
      </w:r>
      <w:proofErr w:type="spellStart"/>
      <w:r>
        <w:t>WorkQ</w:t>
      </w:r>
      <w:proofErr w:type="spellEnd"/>
      <w:r>
        <w:t xml:space="preserve"> feature has been renamed to Claims. The Claims feature works the same as </w:t>
      </w:r>
      <w:proofErr w:type="spellStart"/>
      <w:r>
        <w:t>WorkQ</w:t>
      </w:r>
      <w:proofErr w:type="spellEnd"/>
      <w:r>
        <w:t xml:space="preserve">. Only the name has changed. </w:t>
      </w:r>
    </w:p>
    <w:p w:rsidR="009C6098" w:rsidRDefault="009C6098" w:rsidP="00FB6A58">
      <w:pPr>
        <w:pStyle w:val="NoSpacing"/>
        <w:rPr>
          <w:b/>
        </w:rPr>
      </w:pPr>
    </w:p>
    <w:p w:rsidR="0079085E" w:rsidRDefault="009C6098" w:rsidP="00FB6A58">
      <w:pPr>
        <w:pStyle w:val="NoSpacing"/>
      </w:pPr>
      <w:r>
        <w:rPr>
          <w:noProof/>
        </w:rPr>
        <w:drawing>
          <wp:inline distT="0" distB="0" distL="0" distR="0" wp14:anchorId="6179925C" wp14:editId="543AF927">
            <wp:extent cx="5943600" cy="6261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BCF" w:rsidRDefault="00F01BCF" w:rsidP="00FB6A58">
      <w:pPr>
        <w:pStyle w:val="NoSpacing"/>
      </w:pPr>
    </w:p>
    <w:p w:rsidR="00EB0DD4" w:rsidRDefault="00EB0DD4" w:rsidP="00FB6A58">
      <w:pPr>
        <w:pStyle w:val="NoSpacing"/>
        <w:rPr>
          <w:b/>
        </w:rPr>
      </w:pPr>
    </w:p>
    <w:p w:rsidR="00132950" w:rsidRDefault="00A73A14" w:rsidP="00FB6A58">
      <w:pPr>
        <w:pStyle w:val="NoSpacing"/>
        <w:rPr>
          <w:b/>
        </w:rPr>
      </w:pPr>
      <w:r>
        <w:rPr>
          <w:b/>
        </w:rPr>
        <w:t xml:space="preserve">Views: </w:t>
      </w:r>
    </w:p>
    <w:p w:rsidR="00A73A14" w:rsidRDefault="00A73A14" w:rsidP="00FB6A58">
      <w:pPr>
        <w:pStyle w:val="NoSpacing"/>
      </w:pPr>
      <w:r>
        <w:t>A side by side view has been added. This allows the user to look at two views side by side</w:t>
      </w:r>
      <w:r w:rsidR="008B7734">
        <w:t xml:space="preserve"> (provided</w:t>
      </w:r>
      <w:r w:rsidR="006710CA">
        <w:t xml:space="preserve"> your </w:t>
      </w:r>
      <w:proofErr w:type="spellStart"/>
      <w:r w:rsidR="006710CA">
        <w:t>ClaimSource</w:t>
      </w:r>
      <w:proofErr w:type="spellEnd"/>
      <w:r w:rsidR="006710CA">
        <w:t xml:space="preserve"> browsing window has sufficient width</w:t>
      </w:r>
      <w:r w:rsidR="008B7734">
        <w:t>)</w:t>
      </w:r>
      <w:r>
        <w:t>. The example below shows the c</w:t>
      </w:r>
      <w:r w:rsidR="008B7734">
        <w:t>laim view and the x12-837 view:</w:t>
      </w:r>
    </w:p>
    <w:p w:rsidR="008B7734" w:rsidRPr="00A73A14" w:rsidRDefault="008B7734" w:rsidP="00FB6A58">
      <w:pPr>
        <w:pStyle w:val="NoSpacing"/>
      </w:pPr>
    </w:p>
    <w:p w:rsidR="00A73A14" w:rsidRDefault="00A73A14" w:rsidP="00FB6A58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7A036E6F" wp14:editId="51AEFE69">
            <wp:extent cx="5943600" cy="28879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BCF" w:rsidRDefault="00F01BCF" w:rsidP="00FB6A58">
      <w:pPr>
        <w:pStyle w:val="NoSpacing"/>
        <w:rPr>
          <w:b/>
        </w:rPr>
      </w:pPr>
    </w:p>
    <w:p w:rsidR="00A73A14" w:rsidRDefault="006C436C" w:rsidP="00FB6A58">
      <w:pPr>
        <w:pStyle w:val="NoSpacing"/>
        <w:rPr>
          <w:noProof/>
        </w:rPr>
      </w:pPr>
      <w:r w:rsidRPr="006C436C">
        <w:rPr>
          <w:b/>
          <w:noProof/>
        </w:rPr>
        <w:t>NOTE:</w:t>
      </w:r>
      <w:r>
        <w:rPr>
          <w:noProof/>
        </w:rPr>
        <w:t xml:space="preserve"> Side by side </w:t>
      </w:r>
      <w:r w:rsidR="006A363B">
        <w:rPr>
          <w:noProof/>
        </w:rPr>
        <w:t xml:space="preserve">view only works with </w:t>
      </w:r>
      <w:r w:rsidR="00865FB2">
        <w:rPr>
          <w:noProof/>
        </w:rPr>
        <w:t>the form and X12-837, submission log or</w:t>
      </w:r>
      <w:r>
        <w:rPr>
          <w:noProof/>
        </w:rPr>
        <w:t xml:space="preserve"> payment view</w:t>
      </w:r>
      <w:r w:rsidR="006A363B">
        <w:rPr>
          <w:noProof/>
        </w:rPr>
        <w:t>s</w:t>
      </w:r>
      <w:r>
        <w:rPr>
          <w:noProof/>
        </w:rPr>
        <w:t xml:space="preserve">. </w:t>
      </w:r>
    </w:p>
    <w:p w:rsidR="00A73A14" w:rsidRDefault="00A73A14" w:rsidP="00FB6A58">
      <w:pPr>
        <w:pStyle w:val="NoSpacing"/>
        <w:rPr>
          <w:noProof/>
        </w:rPr>
      </w:pPr>
    </w:p>
    <w:p w:rsidR="00A73A14" w:rsidRDefault="00A73A14" w:rsidP="00FB6A58">
      <w:pPr>
        <w:pStyle w:val="NoSpacing"/>
        <w:rPr>
          <w:noProof/>
        </w:rPr>
      </w:pPr>
    </w:p>
    <w:p w:rsidR="00A73A14" w:rsidRDefault="00431C55" w:rsidP="00431C55">
      <w:pPr>
        <w:rPr>
          <w:noProof/>
        </w:rPr>
      </w:pPr>
      <w:r>
        <w:rPr>
          <w:noProof/>
        </w:rPr>
        <w:br w:type="page"/>
      </w:r>
    </w:p>
    <w:p w:rsidR="006C436C" w:rsidRDefault="006C436C" w:rsidP="00FB6A58">
      <w:pPr>
        <w:pStyle w:val="NoSpacing"/>
        <w:rPr>
          <w:noProof/>
        </w:rPr>
      </w:pPr>
    </w:p>
    <w:p w:rsidR="008A3DCC" w:rsidRDefault="00A73A14" w:rsidP="00FB6A58">
      <w:pPr>
        <w:pStyle w:val="NoSpacing"/>
        <w:rPr>
          <w:noProof/>
        </w:rPr>
      </w:pPr>
      <w:r>
        <w:rPr>
          <w:noProof/>
        </w:rPr>
        <w:t>For side by side view</w:t>
      </w:r>
      <w:r w:rsidR="006C436C">
        <w:rPr>
          <w:noProof/>
        </w:rPr>
        <w:t xml:space="preserve"> with the X12-837</w:t>
      </w:r>
      <w:r w:rsidR="006A363B">
        <w:rPr>
          <w:noProof/>
        </w:rPr>
        <w:t xml:space="preserve"> or Submission Log</w:t>
      </w:r>
      <w:r w:rsidR="006C436C">
        <w:rPr>
          <w:noProof/>
        </w:rPr>
        <w:t>,</w:t>
      </w:r>
      <w:r w:rsidR="007A582B">
        <w:rPr>
          <w:noProof/>
        </w:rPr>
        <w:t xml:space="preserve"> click on tab to </w:t>
      </w:r>
      <w:r>
        <w:rPr>
          <w:noProof/>
        </w:rPr>
        <w:t>selec</w:t>
      </w:r>
      <w:r w:rsidR="006C436C">
        <w:rPr>
          <w:noProof/>
        </w:rPr>
        <w:t>t</w:t>
      </w:r>
      <w:r w:rsidR="007A582B">
        <w:rPr>
          <w:noProof/>
        </w:rPr>
        <w:t xml:space="preserve"> Views and select</w:t>
      </w:r>
      <w:r w:rsidR="00C460E0">
        <w:rPr>
          <w:noProof/>
        </w:rPr>
        <w:t xml:space="preserve"> X12-837 V</w:t>
      </w:r>
      <w:r w:rsidR="006A363B">
        <w:rPr>
          <w:noProof/>
        </w:rPr>
        <w:t xml:space="preserve">iew or Submission Log. </w:t>
      </w:r>
    </w:p>
    <w:p w:rsidR="00A73A14" w:rsidRDefault="00A73A14" w:rsidP="00FB6A58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78158660" wp14:editId="0646D3B0">
            <wp:extent cx="1667687" cy="2606722"/>
            <wp:effectExtent l="0" t="0" r="889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6645" cy="262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DCC" w:rsidRDefault="008A3DCC" w:rsidP="00FB6A58">
      <w:pPr>
        <w:pStyle w:val="NoSpacing"/>
        <w:rPr>
          <w:noProof/>
        </w:rPr>
      </w:pPr>
    </w:p>
    <w:p w:rsidR="006C436C" w:rsidRDefault="006C436C" w:rsidP="00FB6A58">
      <w:pPr>
        <w:pStyle w:val="NoSpacing"/>
        <w:rPr>
          <w:noProof/>
        </w:rPr>
      </w:pPr>
      <w:r>
        <w:rPr>
          <w:noProof/>
        </w:rPr>
        <w:t xml:space="preserve">For side by side view with the payment, click </w:t>
      </w:r>
      <w:r w:rsidR="007A582B">
        <w:rPr>
          <w:noProof/>
        </w:rPr>
        <w:t>on tab to</w:t>
      </w:r>
      <w:r>
        <w:rPr>
          <w:noProof/>
        </w:rPr>
        <w:t xml:space="preserve"> select </w:t>
      </w:r>
      <w:r w:rsidR="007A582B">
        <w:rPr>
          <w:noProof/>
        </w:rPr>
        <w:t xml:space="preserve">Payments and select </w:t>
      </w:r>
      <w:r>
        <w:rPr>
          <w:noProof/>
        </w:rPr>
        <w:t xml:space="preserve">the desired payment for viewing. </w:t>
      </w:r>
    </w:p>
    <w:p w:rsidR="006C436C" w:rsidRDefault="00F252D8" w:rsidP="00FB6A58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44A620EB" wp14:editId="3C1C84F6">
            <wp:extent cx="1674951" cy="2613547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02197" cy="2656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6C" w:rsidRDefault="006C436C" w:rsidP="00FB6A58">
      <w:pPr>
        <w:pStyle w:val="NoSpacing"/>
        <w:rPr>
          <w:noProof/>
        </w:rPr>
      </w:pPr>
    </w:p>
    <w:p w:rsidR="001A3E1D" w:rsidRDefault="00C460E0" w:rsidP="00FB6A58">
      <w:pPr>
        <w:pStyle w:val="NoSpacing"/>
        <w:rPr>
          <w:noProof/>
        </w:rPr>
      </w:pPr>
      <w:r>
        <w:rPr>
          <w:noProof/>
        </w:rPr>
        <w:t xml:space="preserve">When the side by side view is enabled, </w:t>
      </w:r>
      <w:r w:rsidR="00EB0DD4">
        <w:rPr>
          <w:noProof/>
        </w:rPr>
        <w:t xml:space="preserve">a menu option will appear </w:t>
      </w:r>
      <w:r>
        <w:rPr>
          <w:noProof/>
        </w:rPr>
        <w:t>by hovering the mouse over the patient name</w:t>
      </w:r>
      <w:r w:rsidR="008B7734">
        <w:rPr>
          <w:noProof/>
        </w:rPr>
        <w:t xml:space="preserve"> on the claim’s tab</w:t>
      </w:r>
      <w:r>
        <w:rPr>
          <w:noProof/>
        </w:rPr>
        <w:t xml:space="preserve">. </w:t>
      </w:r>
      <w:r w:rsidR="00EB0DD4">
        <w:rPr>
          <w:noProof/>
        </w:rPr>
        <w:t xml:space="preserve">This will allow the user to close the second </w:t>
      </w:r>
      <w:r w:rsidR="006C436C">
        <w:rPr>
          <w:noProof/>
        </w:rPr>
        <w:t xml:space="preserve">view and/or </w:t>
      </w:r>
      <w:r w:rsidR="006C436C" w:rsidRPr="006C436C">
        <w:t>navigate back to the original form by clicking on the name</w:t>
      </w:r>
      <w:r w:rsidR="006C436C">
        <w:t>.</w:t>
      </w:r>
      <w:r w:rsidR="008B7734">
        <w:t xml:space="preserve">  </w:t>
      </w:r>
    </w:p>
    <w:p w:rsidR="008A3DCC" w:rsidRDefault="008A3DCC" w:rsidP="00FB6A58">
      <w:pPr>
        <w:pStyle w:val="NoSpacing"/>
      </w:pPr>
    </w:p>
    <w:p w:rsidR="008A3DCC" w:rsidRDefault="00EB0DD4" w:rsidP="00FB6A58">
      <w:pPr>
        <w:pStyle w:val="NoSpacing"/>
      </w:pPr>
      <w:r>
        <w:rPr>
          <w:noProof/>
        </w:rPr>
        <w:drawing>
          <wp:inline distT="0" distB="0" distL="0" distR="0" wp14:anchorId="65BF4503" wp14:editId="62B52CA8">
            <wp:extent cx="1246919" cy="70968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69129" cy="722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5F0" w:rsidRPr="00FB6A58" w:rsidRDefault="00E655F0" w:rsidP="00FB6A58">
      <w:pPr>
        <w:pStyle w:val="NoSpacing"/>
      </w:pPr>
    </w:p>
    <w:p w:rsidR="00C460E0" w:rsidRDefault="00133E18" w:rsidP="00FB6A58">
      <w:pPr>
        <w:pStyle w:val="NoSpacing"/>
      </w:pPr>
      <w:r>
        <w:rPr>
          <w:b/>
        </w:rPr>
        <w:t>NOTE</w:t>
      </w:r>
      <w:r w:rsidRPr="00133E18">
        <w:rPr>
          <w:b/>
        </w:rPr>
        <w:t>:</w:t>
      </w:r>
      <w:r>
        <w:t xml:space="preserve">  </w:t>
      </w:r>
      <w:r w:rsidR="00431C55">
        <w:t>If you only</w:t>
      </w:r>
      <w:bookmarkStart w:id="0" w:name="_GoBack"/>
      <w:bookmarkEnd w:id="0"/>
      <w:r w:rsidR="00431C55">
        <w:t xml:space="preserve"> want</w:t>
      </w:r>
      <w:r>
        <w:t xml:space="preserve"> the Imported and Current 837 views, </w:t>
      </w:r>
      <w:r>
        <w:t>after selecting the view, click</w:t>
      </w:r>
      <w:r>
        <w:t xml:space="preserve"> on the X12-837 View </w:t>
      </w:r>
      <w:r>
        <w:t xml:space="preserve">button </w:t>
      </w:r>
      <w:r>
        <w:t xml:space="preserve">under the name </w:t>
      </w:r>
      <w:r>
        <w:t>to</w:t>
      </w:r>
      <w:r>
        <w:t xml:space="preserve"> display them without the form (side by side or vertical depending on your </w:t>
      </w:r>
      <w:proofErr w:type="spellStart"/>
      <w:r>
        <w:t>ClaimSource</w:t>
      </w:r>
      <w:proofErr w:type="spellEnd"/>
      <w:r>
        <w:t xml:space="preserve"> browser’s width</w:t>
      </w:r>
      <w:r w:rsidR="00174B4B">
        <w:t>)</w:t>
      </w:r>
      <w:r>
        <w:t>.</w:t>
      </w:r>
    </w:p>
    <w:p w:rsidR="00C460E0" w:rsidRDefault="00C460E0" w:rsidP="00FB6A58">
      <w:pPr>
        <w:pStyle w:val="NoSpacing"/>
      </w:pPr>
    </w:p>
    <w:p w:rsidR="00C460E0" w:rsidRDefault="00C460E0" w:rsidP="00FB6A58">
      <w:pPr>
        <w:pStyle w:val="NoSpacing"/>
      </w:pPr>
    </w:p>
    <w:p w:rsidR="00C460E0" w:rsidRDefault="00C460E0" w:rsidP="00FB6A58">
      <w:pPr>
        <w:pStyle w:val="NoSpacing"/>
      </w:pPr>
    </w:p>
    <w:p w:rsidR="00FB6A58" w:rsidRDefault="00EB0DD4" w:rsidP="00FB6A58">
      <w:pPr>
        <w:pStyle w:val="NoSpacing"/>
      </w:pPr>
      <w:r>
        <w:t xml:space="preserve">The main close button will close both views and return to the </w:t>
      </w:r>
      <w:r w:rsidR="006C436C">
        <w:t xml:space="preserve">Claims </w:t>
      </w:r>
      <w:proofErr w:type="spellStart"/>
      <w:r>
        <w:t>WorkQ</w:t>
      </w:r>
      <w:proofErr w:type="spellEnd"/>
      <w:r>
        <w:t xml:space="preserve">. </w:t>
      </w:r>
    </w:p>
    <w:p w:rsidR="00EB0DD4" w:rsidRDefault="00EB0DD4" w:rsidP="00FB6A58">
      <w:pPr>
        <w:pStyle w:val="NoSpacing"/>
      </w:pPr>
      <w:r>
        <w:rPr>
          <w:noProof/>
        </w:rPr>
        <w:drawing>
          <wp:inline distT="0" distB="0" distL="0" distR="0" wp14:anchorId="0CD309C5" wp14:editId="56D89F25">
            <wp:extent cx="716507" cy="761010"/>
            <wp:effectExtent l="0" t="0" r="762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8678" cy="81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0E0" w:rsidRDefault="00C460E0" w:rsidP="00E23901">
      <w:pPr>
        <w:pStyle w:val="NoSpacing"/>
        <w:rPr>
          <w:b/>
        </w:rPr>
      </w:pPr>
    </w:p>
    <w:p w:rsidR="00281770" w:rsidRPr="00E23901" w:rsidRDefault="00E23901" w:rsidP="00E23901">
      <w:pPr>
        <w:pStyle w:val="NoSpacing"/>
        <w:rPr>
          <w:b/>
        </w:rPr>
      </w:pPr>
      <w:r w:rsidRPr="00E23901">
        <w:rPr>
          <w:b/>
        </w:rPr>
        <w:t xml:space="preserve">Payer Setup: </w:t>
      </w:r>
    </w:p>
    <w:p w:rsidR="00E23901" w:rsidRPr="00E23901" w:rsidRDefault="007A582B" w:rsidP="00E23901">
      <w:pPr>
        <w:pStyle w:val="NoSpacing"/>
      </w:pPr>
      <w:r>
        <w:t>Under Payer Setup, select a payer and under</w:t>
      </w:r>
      <w:r w:rsidR="00E23901">
        <w:t xml:space="preserve"> Billing Info a field is renamed from 837 payer ID to HIS Payer ID. The HIS Payer ID is the ID set up in the clients host system </w:t>
      </w:r>
      <w:r>
        <w:t xml:space="preserve">and sent </w:t>
      </w:r>
      <w:r w:rsidR="00E23901">
        <w:t xml:space="preserve">to </w:t>
      </w:r>
      <w:proofErr w:type="spellStart"/>
      <w:r w:rsidR="00E23901">
        <w:t>ClaimSource</w:t>
      </w:r>
      <w:proofErr w:type="spellEnd"/>
      <w:r w:rsidR="00E23901">
        <w:t xml:space="preserve"> in the 837. </w:t>
      </w:r>
    </w:p>
    <w:p w:rsidR="00281770" w:rsidRDefault="00E23901" w:rsidP="00D0759F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3AEBF9D" wp14:editId="51F7972F">
            <wp:extent cx="5943600" cy="18516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770" w:rsidRPr="00D0759F" w:rsidRDefault="00281770" w:rsidP="00281770">
      <w:pPr>
        <w:pStyle w:val="NoSpacing"/>
      </w:pPr>
    </w:p>
    <w:p w:rsidR="00CC3AF0" w:rsidRPr="00D0759F" w:rsidRDefault="00CC3AF0" w:rsidP="00D0759F">
      <w:pPr>
        <w:jc w:val="center"/>
        <w:rPr>
          <w:sz w:val="28"/>
          <w:szCs w:val="28"/>
        </w:rPr>
      </w:pPr>
    </w:p>
    <w:sectPr w:rsidR="00CC3AF0" w:rsidRPr="00D0759F" w:rsidSect="002D0B08">
      <w:footerReference w:type="defaul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BC2" w:rsidRDefault="00716BC2" w:rsidP="00CC3AF0">
      <w:pPr>
        <w:spacing w:after="0" w:line="240" w:lineRule="auto"/>
      </w:pPr>
      <w:r>
        <w:separator/>
      </w:r>
    </w:p>
  </w:endnote>
  <w:endnote w:type="continuationSeparator" w:id="0">
    <w:p w:rsidR="00716BC2" w:rsidRDefault="00716BC2" w:rsidP="00CC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59F" w:rsidRDefault="00D0759F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56F22E7" wp14:editId="639AC099">
          <wp:simplePos x="0" y="0"/>
          <wp:positionH relativeFrom="column">
            <wp:posOffset>-647700</wp:posOffset>
          </wp:positionH>
          <wp:positionV relativeFrom="paragraph">
            <wp:posOffset>137795</wp:posOffset>
          </wp:positionV>
          <wp:extent cx="4546600" cy="418415"/>
          <wp:effectExtent l="0" t="0" r="0" b="1270"/>
          <wp:wrapNone/>
          <wp:docPr id="4" name="Picture 4" descr="cid:image001.png@01D138CA.EA7B18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1.png@01D138CA.EA7B18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8805" cy="52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01727D">
      <w:fldChar w:fldCharType="begin"/>
    </w:r>
    <w:r w:rsidR="0001727D">
      <w:instrText xml:space="preserve"> PAGE   \* MERGEFORMAT </w:instrText>
    </w:r>
    <w:r w:rsidR="0001727D">
      <w:fldChar w:fldCharType="separate"/>
    </w:r>
    <w:r w:rsidR="00431C55">
      <w:rPr>
        <w:noProof/>
      </w:rPr>
      <w:t>3</w:t>
    </w:r>
    <w:r w:rsidR="0001727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BC2" w:rsidRDefault="00716BC2" w:rsidP="00CC3AF0">
      <w:pPr>
        <w:spacing w:after="0" w:line="240" w:lineRule="auto"/>
      </w:pPr>
      <w:r>
        <w:separator/>
      </w:r>
    </w:p>
  </w:footnote>
  <w:footnote w:type="continuationSeparator" w:id="0">
    <w:p w:rsidR="00716BC2" w:rsidRDefault="00716BC2" w:rsidP="00CC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594D"/>
    <w:multiLevelType w:val="hybridMultilevel"/>
    <w:tmpl w:val="528C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F0"/>
    <w:rsid w:val="0001727D"/>
    <w:rsid w:val="00075E24"/>
    <w:rsid w:val="00083F18"/>
    <w:rsid w:val="000941EA"/>
    <w:rsid w:val="000A3851"/>
    <w:rsid w:val="001211D6"/>
    <w:rsid w:val="00132950"/>
    <w:rsid w:val="00133E18"/>
    <w:rsid w:val="00160699"/>
    <w:rsid w:val="00174B4B"/>
    <w:rsid w:val="001917BF"/>
    <w:rsid w:val="001A3E1D"/>
    <w:rsid w:val="001C4F75"/>
    <w:rsid w:val="00204786"/>
    <w:rsid w:val="00281770"/>
    <w:rsid w:val="002A6E96"/>
    <w:rsid w:val="002D0B08"/>
    <w:rsid w:val="00322A2B"/>
    <w:rsid w:val="00342869"/>
    <w:rsid w:val="0034634B"/>
    <w:rsid w:val="00360508"/>
    <w:rsid w:val="003F1AED"/>
    <w:rsid w:val="00427D44"/>
    <w:rsid w:val="00431C55"/>
    <w:rsid w:val="00473A99"/>
    <w:rsid w:val="00506B09"/>
    <w:rsid w:val="005B5F0B"/>
    <w:rsid w:val="005C67E4"/>
    <w:rsid w:val="006043FC"/>
    <w:rsid w:val="00624255"/>
    <w:rsid w:val="006710CA"/>
    <w:rsid w:val="006A363B"/>
    <w:rsid w:val="006B340E"/>
    <w:rsid w:val="006C436C"/>
    <w:rsid w:val="00715A6B"/>
    <w:rsid w:val="00716BC2"/>
    <w:rsid w:val="00722671"/>
    <w:rsid w:val="0079085E"/>
    <w:rsid w:val="007A582B"/>
    <w:rsid w:val="007B2161"/>
    <w:rsid w:val="007D3963"/>
    <w:rsid w:val="00836B02"/>
    <w:rsid w:val="00865FB2"/>
    <w:rsid w:val="008A3DCC"/>
    <w:rsid w:val="008B7734"/>
    <w:rsid w:val="008E28AD"/>
    <w:rsid w:val="00953C34"/>
    <w:rsid w:val="009558A5"/>
    <w:rsid w:val="009C5654"/>
    <w:rsid w:val="009C6098"/>
    <w:rsid w:val="00A022DF"/>
    <w:rsid w:val="00A32027"/>
    <w:rsid w:val="00A73A14"/>
    <w:rsid w:val="00B8355D"/>
    <w:rsid w:val="00B84B18"/>
    <w:rsid w:val="00BB7066"/>
    <w:rsid w:val="00BC15E0"/>
    <w:rsid w:val="00BD1E48"/>
    <w:rsid w:val="00BD786D"/>
    <w:rsid w:val="00C12FE3"/>
    <w:rsid w:val="00C460E0"/>
    <w:rsid w:val="00C53262"/>
    <w:rsid w:val="00C630FA"/>
    <w:rsid w:val="00C81344"/>
    <w:rsid w:val="00CA2EEB"/>
    <w:rsid w:val="00CA3186"/>
    <w:rsid w:val="00CC3AF0"/>
    <w:rsid w:val="00D0759F"/>
    <w:rsid w:val="00DE31A4"/>
    <w:rsid w:val="00DE77E6"/>
    <w:rsid w:val="00E23901"/>
    <w:rsid w:val="00E450D6"/>
    <w:rsid w:val="00E61D47"/>
    <w:rsid w:val="00E655F0"/>
    <w:rsid w:val="00E7793D"/>
    <w:rsid w:val="00E90027"/>
    <w:rsid w:val="00EB0DD4"/>
    <w:rsid w:val="00EF347C"/>
    <w:rsid w:val="00F01BCF"/>
    <w:rsid w:val="00F252D8"/>
    <w:rsid w:val="00FB6A58"/>
    <w:rsid w:val="00FB7D11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D2322B-1A93-4FA1-BAA7-3F498A87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F0"/>
  </w:style>
  <w:style w:type="paragraph" w:styleId="Footer">
    <w:name w:val="footer"/>
    <w:basedOn w:val="Normal"/>
    <w:link w:val="FooterChar"/>
    <w:uiPriority w:val="99"/>
    <w:unhideWhenUsed/>
    <w:rsid w:val="00CC3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F0"/>
  </w:style>
  <w:style w:type="paragraph" w:styleId="BalloonText">
    <w:name w:val="Balloon Text"/>
    <w:basedOn w:val="Normal"/>
    <w:link w:val="BalloonTextChar"/>
    <w:uiPriority w:val="99"/>
    <w:semiHidden/>
    <w:unhideWhenUsed/>
    <w:rsid w:val="00CA2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EE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77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38CA.EA7B1860" TargetMode="External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9C903-D956-49B7-9341-BC71C983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Passport Health Communications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Gibbs</dc:creator>
  <cp:keywords/>
  <dc:description/>
  <cp:lastModifiedBy>John Bush</cp:lastModifiedBy>
  <cp:revision>3</cp:revision>
  <cp:lastPrinted>2015-12-16T22:07:00Z</cp:lastPrinted>
  <dcterms:created xsi:type="dcterms:W3CDTF">2016-08-18T14:55:00Z</dcterms:created>
  <dcterms:modified xsi:type="dcterms:W3CDTF">2016-08-18T20:30:00Z</dcterms:modified>
</cp:coreProperties>
</file>